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«Промышленный Трейд Альянс» на нарушение его конституционных прав частью первой статьи 97 Федерального закона «Устав железнодорожного транспорта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«Промышленный Трейд Альянс»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«Промышленный Трейд Альянс» (далее также – ООО «ПТА») оспаривает конституционность части первой статьи 97 Федерального закона от 10 января 2003 года № 18-ФЗ «Устав железнодорожного транспорта Российской Федерации», согласно которой за просрочку доставки грузов или не принадлежащих перевозчику порожних грузовых вагонов, контейнеров перевозчик (при перевозках в прямом смешанном сообщении – перевозчик соответствующего вида транспорта, выдавший груз) уплачивает пени в размере шести процентов платы за перевозку грузов, порожнего грузового вагона (вагонов), 2 контейнера (контейнеров) за каждые сутки просрочки (неполные сутки считаются за полные), но не более чем в размере 50 процентов платы за перевозку данных грузов, порожнего грузового вагона (вагонов), контейнера (контейнеров), если не докажет, что просрочка произошла вследствие предусмотренных частью первой статьи 29 данного Устава обстоятельств. Как следует из представленных материалов, решением арбитражного суда, с которым согласились арбитражные суды вышестоящих инстанций, удовлетворены исковые требования заявителя к перевозчику в части взыскания неустойки за просрочку доставки железнодорожных вагонов, размер которой был снижен в соответствии со статьей 333 ГК Российской Федерации. Во взыскании неустойки в оставшейся части, а также убытков судами отказано, причем суды исходили, в частности, из того, что неустойка (пени), установленная оспариваемым положением, является исключительной. Определением Судебной коллегии по экономическим спорам Верховного Суда Российской Федерации названные судебные акты оставлены без изменения. Судебная коллегия указала, что при установлении характера предусмотренных Уставом железнодорожного транспорта Российской Федерации неустоек необходимо применять системное толкование норм названного Устава, которым указаны конкретные случаи взыскания убытков наряду с неустойкой, тогда как отсутствие такого указания означает, что неустойка имеет исключительный характер. По мнению заявителя, часть первая статьи 97 Устава железнодорожного транспорта Российской Федерации не соответствует положениям статей 8, 19, 34 и 35 Конституции Российской Федерации в той мере, в какой по смыслу, придаваемому ей правоприменительной практикой, она исключает возможность взыскания убытков за просрочку доставки груза в части, не покрытой неустойкой.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«Промышленный Трейд Альянс»,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