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Беспамятнова Александра Юрьевича на нарушение его конституционных прав пунктом 4 статьи 426, пунктом 1 статьи 432, абзацем первым пункта 1, пунктами 2 и 4 статьи 450 Гражданского кодекса Российской Федерации, а также пунктами 1 и 5 статьи 247 Федерального закона «Об отходах производства и потребления»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А.Ю.Беспамятнова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А.Ю.Беспамятнов оспаривает конституционность следующих законоположений: пункта 4 статьи 426 «Публичный договор», пункта 1 статьи 432 «Основные положения о заключении договора», абзаца первого пункта 1, пунктов 2 и 4 статьи 450 «Основания изменения и расторжения договора» ГК Российской Федерации; 2 пунктов 1 и 5 статьи 247 «Договор на оказание услуг по обращению с твердыми коммунальными отходами» Федерального закона от 24 июня 1998 года № 89-ФЗ «Об отходах производства и потребления». Из представленных материалов следует, что решением мирового судьи, с которым согласились суды вышестоящих инстанций, с заявителя взыскана задолженность по плате за обращение с твердыми коммунальными отходами (далее – ТКО). Доводы А.Ю.Беспамятнова о том, что сбор и вывоз ТКО региональным оператором бестарным (планово-регулярным) способом не соответствует условиям заключенного с А.Ю.Беспамятновым типового договора и нарушает санитарные нормы, суды отклонили. По мнению заявителя, оспариваемые нормы противоречат статьям 1 (часть 1), 4 (часть 2), 6 (часть 2), 8, 15 (части 1 и 2), 17, 19, 21 (часть 1), 34 (часть 2), 35 (части 1 и 3), 42, 55, 58, 115 (часть 2) и 120 (часть 1) Конституции Российской Федерации в той мере, в какой в системе действующего правового регулирования, по смыслу, придаваемому им правоприменительной практикой, допускают внесение в одностороннем порядке изменений в типовой публичный договор между собственником ТКО и региональным оператором и позволяют последнему произвольно определять способ и объем предоставления коммунальной услуги по вывозу ТКО, ухудшая качество ее предоставления и нарушая санитарные нормы и правила.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Беспамятнова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