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Малакович Натальи Николаевны на нарушение ее конституционных прав статьями 222, 223, 262, частью третьей статьи 263 и статьей 264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Н.Н.Малакович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Н.Н.Малакович оспаривает конституционность статей 222 «Основания для оставления заявления без рассмотрения», 223 «Порядок и последствия оставления заявления без рассмотрения», 262 «Дела, рассматриваемые судом в порядке особого производства», части третьей статьи 263 «Порядок рассмотрения и разрешения дел, рассматриваемых судом в порядке особого производства» и статьи 264 «Дела об установлении фактов, имеющих юридическое значение» ГПК Российской Федерации. Как следует из представленных материалов, Н.Н.Малакович и гражданка М. обратились в суд с заявлением об установлении факта наличия у М. гражданства Российской Федерации. Данное заявление было 2 оставлено судом без рассмотрения ввиду того, что, по его мнению, имелся спор о праве М. на получение гражданства Российской Федерации, подлежащий разрешению в ином процессуальном порядке. По мнению заявительницы, оспариваемые нормы не соответствуют статьям 2, 17 (часть 2), 18, 19 (части 1 и 2), 45, 46 (часть 1) и 47 (часть 1) Конституции Российской Федерации, поскольку в силу их неясности и неполноты они позволяют суду произвольно отказывать в установлении факта наличия у лица гражданства Российской Федерации, приобретенного по рождению, в порядке особого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права каждого на судебную защиту его прав и свобод, как оно сформулировано в статье 46 Конституции Российской Федерации, не следует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законами. К их числу относится и Гражданский процессуальный кодекс Российской Федерации, устанавливающий особенности рассмотрения и разрешения судами дел в порядке как искового, так и особого производства. Одной из особенностей дел, рассматриваемых в порядке особого производства, является отсутствие спора о праве. В случае, если при подаче заявления или рассмотрении дела в порядке особого производства устанавливается наличие такого спора,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 (часть третья статьи 263 ГПК Российской Федерации). Разрешение вопроса о наличии спора о праве осуществляется судом в каждом конкретном случае на основании фактических обстоятельств дела с обязательным указанием в принимаемом им 3 определении мотивов, по которым суд пришел к своим выводам, и ссылок на законы, которыми он руководствовался (пункт 5 части первой статьи 225 данного Кодекса). При этом гражданство, будучи правовым состоянием, не является юридическим фактом, который подлежит установлению судом в рамках особого производства (Определение Конституционного Суда Российской Федерации от 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Малакович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