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Липко Любови Олеговны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Л.О.Липко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Л.О.Липко оспаривает конституционность пункта 1 статьи 234 ГК Российской Федерации, согласно которому лицо – гражданин или юридическое лицо,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указанной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давность); 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 2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Л.О.Липко о признании за ней в силу приобретательной давности права собственности на объект нежилой недвижимости, которым ее отец, а после его смерти и она владели в течение длительного времени,. По мнению заявительницы, пункт 1 статьи 234 ГК Российской Федерации противоречит статьям 2, 15, 17–19, 35, 45, 46, 55, 57, 64, 118 и 120 Конституции Российской Федерации в той мере, в какой по смыслу, придаваемому ему правоприменительной практикой, препятствует признанию права собственности в силу приобретательной давности за лицом, не являющимся собственником имущества, но добросовестно, открыто и непрерывно владеющим как своим собственным бесхозяйным недвижимым имуществом в течение двадцати пяти лет.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Липко Любови Олеговны,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