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Первичной профсоюзной организации – Независимого профсоюза «Профсвобода» работников ОАО «Сургутнефтегаз» Межрегионального профсоюза работников нефте-газо- горнодобывающей и перерабатывающей промышленности Объединения профсоюзов России СОЦПРОФ на нарушение конституционных прав статьей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Первичной профсоюзной организации – Независимого профсоюза «Профсвобода»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Первичная профсоюзная организация – Независимый профсоюз «Профсвобода»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 оспаривает 2 конституционность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заявителю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о пересмотре вступившего в законную силу решения того же суда по новым обстоятельствам, к которым заявитель относил Определение Конституционного Суда Российской Федерации от 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Первичной профсоюзной организации – Независимого профсоюза «Профсвобода» работников ОАО «Сургутнефтегаз» Межрегионального профсоюза работников нефте-газо-горнодобывающей и перерабатывающей 4 промышленности Объединения профсоюзов России СОЦПРОФ,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