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Группа Компаний «Промресурс» на нарушение его конституционных прав подпунктом 8 пункта 1 статьи 265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Группа Компаний «Промресурс»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Группа Компаний «Промресурс» (далее также – ООО ГК «Промресурс») оспаривает конституционность подпункта 8 пункта 1 статьи 265 Налогового кодекса Российской Федерации, в соответствии с которым в состав внереализационных расходов, не связанных с производством и реализацией, включаются обоснованные затраты на осуществление деятельности, непосредственно не связанной с производством и (или) реализацией, в том числе расходы на ликвидацию выводимых из эксплуатации основных средств, на списание нематериальных активов, включая суммы недоначисленной в соответствии с 2 установленным сроком полезного использования амортизации, а также расходы на ликвидацию объектов незавершенного строительства и иного имущества, монтаж которого не завершен (расходы на демонтаж, разборку, вывоз разобранного имущества), охрану недр и другие аналогичные работы, если иное не установлено статьей 2674 данного Кодекса. Как следует из представленных материалов, вступившими в законную силу актами арбитражных судов ООО ГК «Промресурс» отказано в признании недействительным решения налогового органа в части доначисления налога на прибыль организаций. При этом суды в том числе пришли к выводу о том, что налогоплательщиком необоснованно включены в состав расходов затраты по созданию объекта незавершенного строительства, поскольку данный объект не отвечал признакам основного средства, а соответственно, понесенные расходы не были связаны с деятельностью, направленной на получение дохода. По мнению заявителя, оспариваемое законоположение противоречит статьям 15, 18, 19 и 57 Конституции Российской Федерации, поскольку по смыслу, придаваемому ему правоприменительной практикой, не позволяет учитывать в составе расходов по налогу на прибыль организаций затраты на создание списанных объектов незавершенного строительства.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Группа Компаний «Промресурс»,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