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Кульневой Натальи Викторовны на нарушение ее конституционных прав частью третьей статьи 4121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Н.В.Кульневой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апелляционного и кассационного обжалования вынесенного в отношении гражданки Н.В.Кульневой приговора районного суда ее защитником направлена в Верховный Суд Российской Федерации надзорная жалоба об оспаривании состоявшихся в ее деле судебных решений. Письмом судьи Верховного Суда Российской Федерации от 29 апреля 2025 года указанная жалоба возвращена без рассмотрения. При этом разъяснено, что Н.В.Кульнева в полном объеме реализовала свое право на обжалование судебных решений в порядке главы 471 УПК Российской Федерации, а оснований для рассмотрения очередного обращения в порядке надзора не имеется. 2 В этой связи Н.В.Кульнева просит признать часть третью статьи 4121 «Пересмотр судебных решений в порядке надзора» УПК Российской Федерации не соответствующей статьям 2, 46 (части 1 и 2), 50 (часть 3) и 55 Конституции Российской Федерации, поскольку она препятствует обжалованию судебных решений в надзорном порядке, ограничивая их круг лишь указанными в ней актами.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возможности выбора гражданином по своему усмотрению любых способов и процедур судебной защиты (в том числе обжалования судебных решений, вступивших в законную силу), особенности которых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Кульневой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