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Маценовой Евы Борисовны на нарушение ее конституционных прав частями первой, четвертой и седьмой статьи 3905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Е.Б.Маценовой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Е.Б.Маценова, которой письмами должностных лиц аппарата Верховного Суда Российской Федерации были возвращены без рассмотрения по существу кассационные жалобы, оспаривает конституционность частей первой, четвертой и седьмой статьи 3905 «Форма и содержание кассационных жалобы, представления» ГПК Российской Федерации. По мнению заявительницы, оспариваемые законоположения противоречат Конституции Российской Федерации, ее статьям 18, 45, 46 (часть 1), 55 и 751, поскольку они ставят возможность обращения в суд с 2 кассационной жалобой в электронном виде в зависимость от наличия электронных подписей судей на обжалуемых судебных постановлениях. Кроме того, Е.Б.Маценова просит установить отсутствие оснований для отказа в рассмотрении по существу ее кассационных жалоб в Верховном Суде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определениях по жалобам граждан на нарушение права на судебную защиту нормами, регулирующими порядок обращения в суд с исковыми заявлениями и жалобами,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Маценовой Евы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