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Кудиновой Веры Владимировны на нарушение ее конституционных прав пунктом 1 статьи 200 Гражданского кодекса Российской Федерации, а также пунктом 2 статьи 9 и пунктом 7 статьи 38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В.В.Кудиновой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В.В.Кудинова оспаривает конституционность следующих норм: пункта 1 статьи 200 ГК Российской Федерации, предусматривающего, что,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пункта 2 статьи 9 Семейного кодекса Российской Федерации, в соответствии с которым при применении норм, устанавливающих исковую давность, суд руководствуется правилами статей 198–200 и 202–205 ГК Российской Федерации; 2 пункта 7 статьи 38 того же Кодекса, закрепляющего, что к требованиям супругов о разделе общего имущества супругов, брак которых расторгнут, применяется трехлетний срок исковой давности. Из представленных материалов следует, что определением суда апелляционной инстанции отменено решение суда общей юрисдикции (принято после направления дела на новое рассмотрение в суд первой инстанции кассационным судом общей юрисдикции), которым по иску В.В.Кудиновой за ней и ее бывшим супругом признаны доли в праве собственности на жилое помещение в порядке раздела общего имущества супругов. Отказывая в удовлетворении иска заявительницы, суд апелляционной инстанции сослался на заявление ответчика о пропуске срока исковой давности, исчисляемого с момента, когда В.В.Кудиновой стало известно о нарушении ее права, а именно с даты предъявления ее бывшим супругом требования о снятии ее с регистрационного учета по месту жительства в спорном жилом помещении. В передаче кассационной жалобы заявительницы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В.В.Кудиновой, оспариваемые положения противоречат статьям 35 (части 1 и 2), 40 (часть 1) и 55 (части 1 и 3) Конституции Российской Федерации, поскольку по смыслу, придаваемому им правоприменительной практикой, они позволяют произвольно определять момент начала течения срока исковой давности по требованию о разделе общего имущества супругов и связывать его не с реальным нарушением права истца, а с совершением любого действия в отношении спорного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Кудиновой Веры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