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статьей 761, частью четвертой статьи 159 Уголовного кодекса Российской Федерации, а также рядом норм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мошенничеств, оспаривает конституционность статьи 761 «Освобождение от уголовной ответственности в связи с возмещением ущерба», части четвертой статьи 159 «Мошенничество» УК Российской Федерации, а также статьи 20 «Виды уголовного преследования», части первой статьи 24 «Основания отказа в возбуждении уголовного дела или прекращения уголовного дела», части первой статьи 27 «Основания прекращения уголовного преследования», частей первой и второй статьи 140 «Поводы и основание для возбуждения уголовного дела», пункта 1 части первой статьи 254 «Прекращение 2 уголовного дела или уголовного преследования в судебном заседании» и пункта 1 части второй статьи 38917 «Существенные нарушения уголовно- процессуального закона» УПК Российской Федерации. По мнению заявительницы, оспариваемые нормы не соответствуют статьям 2, 15 (части 1 и 4), 17 (части 1 и 3), 18, 19 (части 1 и 2), 45, 46 (часть 1), 49 (часть 1), 55 (часть 3) и 751 Конституции Российской Федерации в той мере, в какой они не предусматривают возможности прекращения уголовного дела при отсутствии поводов для его возбуждения; относят к делам публичного обвинения, исключая тем самым прекращение в связи с отсутствием заявления потерпевшего, уголовные дела о мошенничестве, которые возбуждены по части четвертой статьи 159 УК Российской Федерации и по которым потерпевшим, в частности, является физическое лицо, при этом вред интересам государства не причинен, предметом преступления не является государственное или муниципальное имущество, а субъект не осуществляет предпринимательскую деятельность и не совершил преступление, связанное с такой деятельностью; исключают возможность освобождения от уголовной ответственности по таким делам на основании возмещения ущерба.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71 (пункт «о») Конституции Российской Федерации уголовное и уголовно-процессуальное законодательство находится в ведении Российской Федерации. Федеральный законодатель, реализуя принадлежащие ему полномочия, правомочен как устанавливать в законе ответственность за правонарушения, так и устранять ее, а также определять, какие меры государственного принуждения подлежат использованию в качестве средств реагирования на те или иные деяния и при каких условиях возможен отказ от их применения (постановления Конституционного Суда Российской Федерации от 14 июля 2011 года № 16- П и от 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