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3158-О/2025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Лавриновича Сергея Константиновича на нарушение его конституционных прав статьей 125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по требованию гражданина С.К.Лавриновича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С.К.Лавринович, осужденный за совершение преступления, утверждает, что применением статьи 125 «Судебный порядок рассмотрения жалоб» УПК Российской Федерации при производстве по его делу были нарушены права, гарантированные статьями 46 (часть 1) и 47 (часть 1) Конституции Российской Федерации. Из представленных материалов следует, что письмом должностного лица прокуратуры от 21 февраля 2024 года заявителю в ответ на его обращение сообщено, что нарушений уголовно-процессуального закона, влекущих отмену состоявшегося судебного решения, не имеется, как и оснований для 2 возобновления производства по уголовному делу ввиду новых или вновь открывшихся обстоятельств. Вынесенным по правилам статьи 125 УПК Российской Федерации постановлением суда отказано в принятии к рассмотрению жалобы на указанный ответ, поскольку приведенные в ней доводы сводились к несогласию с вынесенным приговором. С таким решением согласились вышестоящие судебные инстанции, включая судью Верховного Суда Российской Федерации (постановление от 13 февраля 2025 года) и заместителя Председателя данного суда (письмо от 26 мая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Лавриновича Сергея Константиновича,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