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К.Л. на нарушение ее конституционных прав пунктом 2 статьи 48, пунктом 1 статьи 51 и пунктом 1 статьи 52 Семейного кодекса Российской Федерации, а также пунктом 1 части первой статьи 134 и абзацем вторым статьи 220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К.Л.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К.Л. оспаривает конституционность пункта 2 статьи 48 «Установление происхождения ребенка», пункта 1 статьи 51 «Запись родителей ребенка в книге записей рождений» и пункта 1 статьи 52 «Оспаривание отцовства (материнства)» Семейного кодекса Российской Федерации, а также пункта 1 части первой статьи 134 «Отказ в принятии искового заявления» и абзаца второго статьи 220 «Основания прекращения производства по делу» ГПК Российской Федерации. Из представленных материалов следует, что определением суда общей юрисдикции, оставленным без изменения определением суда апелляционной 2 инстанции, прекращено производство по иску К.Л. об оспаривании отцовства гражданина К. (ее сына) в отношении несовершеннолетнего ребенка, родившегося до истечения трехсот дней с момента смерти К., состоявшего в браке с матерью ребенка, и об исключении сведений об отце из записи акта о рождении. Суды указали, что заявительница не относится к лицам, которые вправе оспаривать отцовство. В передаче кассационной жалобы на названные определения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нормы не соответствуют статьям 35 (часть 4) и 46 (часть 1) Конституции Российской Федерации, поскольку по смыслу, придаваемому им правоприменительной практикой, они не позволяют наследникам лица, записанного в качестве отца ребенка в книгу записей рождений, защитить свои имущественные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К.Л.,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