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частью 2 статьи 302 и частью 2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 оспаривает конституционность части 2 статьи 302 «Действия суда первой инстанции после получения апелляционных жалобы, представления» и части 2 статьи 318 «Право на обращение в суд кассационной инстанции» КАС Российской Федерации. Как следует из представленных документов, В.И.Попкову отказано в удовлетворении административного искового заявления решением районного суда, кассационная жалоба на которое была возвращена без рассмотрения кассационным судом общей юрисдикции, поскольку данное решение не было обжаловано в апелляционном порядке. Верховный Суд Российской 2 Федерации подтвердил законность возврата заявителю его кассационной жалобы. По мнению В.И.Попкова, оспариваемые законоположения препятствуют обжалованию в кассационном порядке судебного решения, которое не было предметом проверки суда апелляционной инстанции, и тем самым нарушают его права, гарантированные рядом статей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