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Заруцкого Александра Анастасьевича на нарушение его конституционных прав частями первой, второй, третьей и пятой статьи 79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А.А.Заруцкого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А.А.Заруцкий оспаривает конституционность частей первой, второй, третьей и пятой статьи 79 «Юридическая сила решения» Федерального конституционного закона от 21 июля 1994 года № 1-ФКЗ «О Конституционном Суде Российской Федерации». Как следует из представленных материалов, вступившим в законную силу приговором суда А.А.Заруцкий признан виновным в совершении преступления, предусмотренного частью первой статьи 293 «Халатность» УК Российской Федерации. При этом суды установили, что ненадлежащее исполнение заявителем своих полномочий должностного лица местного 2 самоуправления повлекло причинение ущерба в результате пожара, возникшего на месте несанкционированной свалки отходов, расположенной в границах соответствующего муниципального образования на земельном участке, государственная собственность на который не разграничена. Ссылки стороны защиты на Постановление Конституционного Суда Российской Федерации от 30 мая 2023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79 Федерального конституционного закона «О Конституционном Суде Российской Федерации» решение Конституционного Суда Российской Федерации окончательно и не подлежит обжалованию, действует непосредственно и не требует подтверждения другими органами и должностными лицами (части первая и вторая); акты или их отдельные положения, признанные неконституционными, утрачивают силу (часть третья); суды общей юрисдикции, арбитражные суды при рассмотрении дел после вступления в силу постановления Конституционного Суда Российской Федерации (включая дела, производство по которым возбуждено и решения предшествующих судебных инстанций состоялись до вступления в силу этого постановления Конституционного Суда Российской Федерации) не вправе руководствоваться нормативным актом или отдельными его 3 положениями, признанными этим постановлением Конституционного Суда Российской Федерации не соответствующими Конституции Российской Федерации, либо применять нормативный акт или отдельные его положения в истолковании, расходящемся с данным Конституционным Судом Российской Федерации в этом постановлении истолкованием (часть пятая). Как неоднократно отмечал Конституционный Суд Российской Федерации, указанная статья направлена на конкретизацию статьи 125 Конституции Российской Федерации и не содержит положений, позволяющих судам не учитывать решения Конституционного Суда Российской Федерации (определения от 23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Заруцкого Александра Анастасьевича,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