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Мугунянца Артема Павловича на нарушение его конституционных прав главой 30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А.П.Мугунянца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А.П.Мугунянц оспаривает конституционность главы 30 «Пересмотр постановлений и решений по делам об административных правонарушениях» КоАП Российской Федерации, в том числе части 4 статьи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Как следует из представленных материалов, постановлением мирового судьи, оставленным без изменения вышестоящими судами, в том числе постановлением судьи Верховного Суда Российской Федерации, А.П.Мугунянц был привлечен к административной ответственности за 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(часть 2 статьи 17.3 КоАП Российской Федерации). Как утверждает заявитель, в повторной жалобе, направленной в Верховный Суд Российской Федерации, он привел обстоятельство, которое, по его мнению, свидетельствовало об отсутствии события административного правонарушения, однако судья Верховного Суда Российской Федерации не усмотрел оснований для пересмотра судебных актов и возвратил жалобу. По мнению заявителя, оспариваемые законоположения не соответствуют ряду статей Конституции Российской Федерации, поскольку не предусматривают возможности пересмотра актов, принятых по делу об административном правонарушении, по новым или вновь открывшимся обстоятельствам.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Мугунянца Артема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