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Самойлюк Анастасии Ивановны на нарушение ее конституционных прав пунктами 2 и 3 статьи 1148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А.И.Самойлюк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А.И.Самойлюк оспаривает конституционность пунктов 2 и 3 статьи 1148 «Наследование нетрудоспособными иждивенцами наследодателя» ГК Российской Федерации. Как следует из представленных материалов, определением суда апелляционной инстанции, с которым согласились вышестоящие суды, отказано в удовлетворении требований заявительницы и гражданки С. к гражданину Р. об установлении факта нахождения на иждивении наследодателя и признании права собственности. Суды пришли к выводу о недоказанности факта нахождения истцов на иждивении наследодателя. 2 По мнению А.И.Самойлюк, оспариваемые положения противоречат статьям 18, 35 и 38 Конституции Российской Федерации в той мере, в которой они по смыслу, придаваемому им правоприменительной практикой, препятствуют признанию лица, получающего пенсию, находившимся на иждивении наследодателя.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быть наследником – неотъемлемый элемент правового статуса каждого гражданина. Однако,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Самойлюк Анастасии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