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Гуляевой Светланы Иосифовны на нарушение ее конституционных прав статьей 199 и пунктом 1 статьи 200 Гражданского кодекса Российской Федерации, статьей 34 и пунктом 7 статьи 38 Семейного кодекса Российской Федерации, а также статьей 26 Федерального закона «О банках и банковской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С.И.Гуляевой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С.И.Гуляева оспаривает конституционность статьи 199 «Применение исковой давности» и пункта 1 статьи 200 «Начало течения срока исковой давности» ГК Российской Федерации, статьи 34 «Совместная собственность супругов» и пункта 7 статьи 38 «Раздел общего имущества супругов» Семейного кодекса Российской Федерации, а также статьи 26 «Банковская тайна» Федерального закона от 2 декабря 1990 года № 395-I «О банках и банковской деятельности». 2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требований, предъявленных С.И.Гуляевой к ее бывшему супругу и направленных на признание денежных средств, находившихся на его счетах в момент расторжения брака, общим имуществом супругов, их раздел и взыскание половины этой суммы. Суд первой инстанции указал на наличие оснований отказать в удовлетворении иска как по существу, так и в связи с пропуском истицей срока исковой давности, о котором заявлено ответчиком. В передаче кассационной жалобы С.И.Гуляевой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19 (часть 1) и 24 (часть 2) Конституции Российской Федерации, поскольку они не обеспечивают раздела общего имущества супругов в равных долях.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установление в законе общего срока исковой давности, т.е. срока для защиты интересов лица, право которого нарушено (статья 196 ГК Российской Федерации), специальных сроков исковой давности, момента начала течения такого срока и последствий его пропуска обусловлено необходимостью обеспечить стабильность гражданского оборота и не может расцениваться как нарушающее какие-либо конституционные права (определения от 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Гуляевой Светланы Иосифовны,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