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Первичной профсоюзной организации – Независимого профсоюза «Профсвобода» работников ОАО «Сургутнефтегаз» Межрегионального профсоюза работников нефте-газо- горнодобывающей и перерабатывающей промышленности Объединения профсоюзов России СОЦПРОФ на нарушение конституционных прав положениями статей 57, 74 и 150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Первичной профсоюзной организации – Независимого профсоюза «Профсвобода» работников ОАО «Сургутнефтегаз» Межрегионального профсоюза работников нефте-газо-горнодобывающей и перерабатывающей промышленности Объединения профсоюзов России СОЦПРОФ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Первичная профсоюзная организация – Независимый профсоюз «Профсвобода» работников ОАО «Сургутнефтегаз» Межрегионального профсоюза работников нефте-газо-горнодобывающей и перерабатывающей промышленности Объединения профсоюзов России СОЦПРОФ оспаривает 2 конституционность следующих положений Трудового кодекса Российской Федерации: статьи 57, а фактически абзаца пятого ее части второй, закрепляющего, что обязательными для включения в трудовой договор являются условия оплаты труда (в том числе размер тарифной ставки или оклада (должностного оклада) работника, доплаты, надбавки и поощрительные выплаты); статьи 74, регулирующей порядок изменения определенных сторонами условий трудового договора по причинам, связанным с изменением организационных или технологических условий труда; статьи 150, а фактически ее части первой, согласно которой при выполнении работником с повременной оплатой труда работ различной квалификации его труд оплачивается по работе более высокой квалификации. По мнению заявителя, оспариваемые нормы, примененные в его деле судом, противоречат Конституции Российской Федерации, в частности ее статьям 19, 37 и 46, поскольку позволяют включать в трудовой договор несколько тарифных ставок, а судам – не признавать изменением трудового договора изменение размера часовой тарифной ставки и не применять положение статьи 150 Трудового кодекса Российской Федерации об оплате работ различной квалификации.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статьи 57 Трудового кодекса Российской Федерации направлено на обеспечение определенности правового положения работника и защиту его интересов, а потому не может расцениваться как нарушающее его права (Определение Конституционного Суда Российской Федерации от 25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Первичной профсоюзной организации – Независимого профсоюза «Профсвобода» работников ОАО «Сургутнефтегаз» Межрегионального профсоюза работников нефте-газо-горнодобывающей и перерабатывающей промышленности Объединения профсоюзов России СОЦПРОФ,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