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Стручкова Семена Валерьевича на нарушение его конституционных прав положениями статей 22, 129 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С.В.Стручкова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С.В.Стручков оспаривает конституционность следующих норм Трудового кодекса Российской Федерации: статьи 22, а фактически абзаца седьмого ее части второй, закрепляющего, что работодатель обязан выплачивать в полном размере причитающуюся работникам заработную плату в сроки, установленные в соответствии с данным Кодексом, коллективным договором, правилами внутреннего трудового распорядка, трудовыми договорами; статьи 129, определяющей основные понятия и определения, используемые в разделе VI «Оплата и нормирование труда»; 2 статьи 135, а фактически ее частей первой и второй, согласно которым заработная плата работнику устанавливается трудовым договором в соответствии с действующими у данного работодателя системами оплаты труда;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По мнению заявителя, оспариваемые нормы, примененные судом в его деле, касающемся в том числе взыскания с работодателя районного коэффициента и процентной надбавки, противоречат статьям 2, 18, 37 (часть 3), 46 (части 1 и 2) и 118 (часть 1) Конституции Российской Федерации, поскольку позволяют суду не признавать установленное в трудовом договоре денежное вознаграждение окладом и отказывать в начислении к этой сумме районного коэффициента и процентной надбавки за работу в районах Крайнего Севера и местностях, приравненных к районам Крайнего Севера.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129 Трудового кодекса Российской Федерации определяет общие понятия, используемые в его разделе VI «Оплата и нормирование труда», т.е. содержит лишь нормы-дефиниции, и как таковая прав граждан не затрагивает. При этом данная статья применяется во взаимосвязи с иными положениями того же Кодекса, в том числе содержащими правила установления заработной платы и, в частности, предусматривающими, что заработная плата конкретного работника определяется трудовым 3 договором в соответствии с действующими у данного работодателя системами оплаты труда, которые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 (части первая и вторая статьи 135). Такое правовое регулирование направлено на обеспечение реализации предусмотренного Трудовым кодексом Российской Федерации права работника на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 (абзац пятый части первой статьи 21), которому корреспондирует обязанность работодателя выплачивать в полном размере причитающуюся работникам заработную плату в сроки, установленные в соответствии с данным Кодексом, коллективным договором, правилами внутреннего трудового распорядка, трудовыми договорами (абзац седьмой части второй статьи 22). В силу этого оспариваемые положения Трудового кодекса Российской Федерации не могут расцениваться как нарушающие права граждан, в том числе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Стручкова Семена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