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3421-О/2024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Александровой Наталии Витальевны на нарушение ее конституционных прав частью 31 статьи 45 и пунктом 2 части 3 статьи 1431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Н.В.Александровой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Н.В.Александрова оспаривает конституционность части 31 статьи 45 «Порядок проведения общего собрания собственников помещений в многоквартирном доме» и пункта 2 части 3 статьи 1431 «Права членов товарищества собственников жилья и не являющихся членами товарищества собственников помещений в многоквартирном доме» Жилищного кодекса Российской Федерации. Из представленных материалов следует, что апелляционным определением суда общей юрисдикции, с которым согласились суды кассационной инстанции, на товарищество собственников жилья (далее – 2 товарищество), председателем правления которого является заявительница, возложена обязанность предоставить гражданам, являющимся членами этого товарищества, для ознакомления внутренние документы товарищества, включая реестр его членов и реестр собственников помещений в многоквартирном доме, управление которым осуществляет товарищество. По мнению Н.В.Александровой, оспариваемые нормы противоречат Конституции Российской Федерации, ее статьям 17 (часть 3), 24 (часть 1) и 55 (часть 2), в той мере, в какой они обязывают организацию, осуществляющую управление многоквартирным домом, передавать третьим лицам реестры членов товарищества и собственников помещений, содержащие персональные данные указанных лиц, вне зависимости от того, имеется ли согласие субъектов персональных данных на распространение соответствующих сведений.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принципы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 Конституционный Суд Российской Федерации, реализация права каждого свободно искать, получать, передавать, производить и распространять информацию любым законным способом (статья 29, часть 4, Конституции Российской Федерации) возможна только в порядке, установленном законом, и федеральный законодатель правомочен определить законные способы получения информации; право на свободу информации может быть ограничено федеральным законом в соответствии с критериями, которые предопределяются требованиями статей 17 (часть 3) и 55 (часть 3) Конституции Российской Федерации, на основе принципа юридического равенства (статья 19, части 1 и 2, Конституции Российской Федерации) и вытекающего из него принципа соразмерности, т.е. в той мере, в какой это необходимо в Российской Федерации как демократическом и правовом государстве в целях защиты прав, гарантированных статьями 23 и 24 (часть 1) Конституции Российской 3 Федерации (Постановление от 31 марта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Александровой Наталии Витальевны,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