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2891-О/2025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 на нарушение его конституционных прав частью второй статьи 23 Закона Российской Федерации «О государственной тайне»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Б.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Б. оспаривает конституционность части второй статьи 23 Закона Российской Федерации от 21 июля 1993 года № 5485-I «О государственной тайне», согласно которой допуск должностного лица или гражданина к государственной тайне, оформленный в соответствии со статьей 21 данного Закона, может быть прекращен по решению руководителя (уполномоченного им должностного лица) органа государственной власти, органа публичной власти федеральной территории, органа местного самоуправления, предприятия, учреждения или организации при наличии обстоятельств, являющихся согласно статье 22 данного Закона основанием для отказа должностному лицу или гражданину в допуске к государственной тайне. 2 Из представленных материалов следует, что решением суда общей юрисдикции, с которым согласились вышестоящие суды, Б. отказано в удовлетворении требований, в частности, о признании незаконными решения о прекращении допуска к государственной тайне и переводе на другую должность. Суды пришли к выводу, что имелись основания для прекращения допуска заявителя к государственной тайне в связи с длительным проживанием члена его семьи на территории иностранного государства и что порядок принятия такого решения был соблюден. По мнению Б., оспариваемое законоположение не соответствует статьям 19 (части 1 и 2), 32 (часть 4) и 45 Конституции Российской Федерации, поскольку допускает прекращение допуска к государственной тайне по формальным основаниям, а также позволяет судам не оценивать обоснованность данных решений.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Конституционный Суд Российской Федерации неоднократно указывал на то, что режим секретности сведений, составляющих государственную тайну, направлен на ее сохранение, не предполагает свободного доступа к таким сведениям каждого гражданина, а потому лишение права доступа к таким сведениям – при наличии обстоятельств, создающих угрозу для их защиты, – не может рассматриваться как неоправданное ограничение прав и свобод человека и гражданина. Уполномоченные органы и должностные лица, принимая решение о прекращении допуска того или иного лица к государственной тайне, и суды при оценке правомерности такого решения должны учитывать все обстоятельства, наличие которых позволяет сделать вывод об имеющейся угрозе безопасности государства и о необходимости защиты сведений, составляющих государственную тайну. Решение о прекращении допуска к государственной тайне, не являющееся мерой ответственности, а выступающее в качестве меры обеспечения режима секретности 3 сведений, составляющих государственную тайну, может применяться с учетом его объективной обоснованности, направленности на конституционно значимые цели и соразмерности этим целям (определения от 28 января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 Конституционный Суд Российской Федерации признается допустимой. 4</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