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Пименова Анатолия Геннадьевича на нарушение его конституционных прав рядом положений Гражданского кодекса Российской Федерации, а также частью 6 статьи 46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А.Г.Пименова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А.Г.Пименов оспаривает конституционность пункта 1 статьи 6 «Применение гражданского законодательства по аналогии», пункта 1 статьи 1813 «Недействительность решения собрания», пунктов 1 и 5 статьи 1814 «Оспоримость решения собрания» и статьи 1815 «Ничтожность решения собрания» ГК Российской Федерации, а также части 6 статьи 46 «Решения общего собрания собственников помещений в многоквартирном доме» Жилищного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2 А.Г.Пименову отказано в удовлетворении требования о признании недействительным решения общего собрания собственников помещений в многоквартирном доме в связи с пропуском срока исковой давности. По мнению заявителя, оспариваемые положения, допускающие возможность их произвольного толкования и применения, противоречат статье 19 (часть 1) Конституции Российской Федерации, поскольку в условиях отсутствия в законе положений о том, кто и в каком порядке устанавливает ничтожность решения собрания, обязывают признавать такое решение недействительным и устанавливают для этого срок давности, притом что оно недействительно вне зависимости от признания его таковым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Пименова Анатолия Геннадьевича,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