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«Брянская мясная компания» на нарушение его конституционных прав пунктом 1 статьи 1079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«Брянская мясная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«Брянская мясная компания» (далее также – ООО «Брянская мясная компания») оспаривает конституционность пункта 1 статьи 1079 ГК Российской Федерации, согласно которому юридические лица и граждане, чья деятельность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2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данного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Как следует из представленных материалов, решением суда общей юрисдикции, с которым согласились суды вышестоящих инстанций, были удовлетворены исковые требования собственника транспортного средства к ООО «Брянская мясная компания» – собственнику животного о возмещении ущерба, причиненного в результате дорожно-транспортного происшествия, вследствие которого транспортное средство получило механические повреждения от столкновения с этим животным. По мнению ООО «Брянская мясная компания», оспариваемая норма в истолковании, которое придается ей сложившейся правоприменительной практикой, противоречит статьям 19 (часть l) и 123 (часть 3) Конституции Российской Федерации, поскольку порождает неопределенность и допускает освобождение от ответственности владельца источника повышенной опасности, совершившего наезд на животное, при этом возлагая всю ответственность за последствия дорожно-транспортного происшествия на собственника животного, которое не является источником повышенной опасности.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Пункт 1 статьи 1079 ГК Российской Федерации, являющийся частью механизма возмещения вреда, причиненного источником повышенной 3 опасности, направлен на защиту прав потерпевших в деликтных обязательствах. В исключение из общего правила об ответственности за вину, данная норма предусматривает возмещение вреда потерпевшему независимо от вины причинителя вреда, чем обеспечивается баланс конституционно защищаемых целей и ценностей. Данная норма сама по себе не может расцениваться как нарушающая в указанном в жалобе аспекте конституционные права и свободы ООО «Брянская мясная компания», в деле с участием которого суды установили, что причиненный вследствие дорожно-транспортного происшествия вред находился в причинной связи с бездействием указанного хозяйственного общества, выразившимся в ненадлежащем контроле за принадлежащим ему животным, а не с действиями владельца источника повышенной опасности. Кроме того, оспариваемая норма действует в системной связи с абзацем вторым пункта 2 статьи 1083 ГК Российской Федерации о том, что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Определение же лица или лиц, чьи действия привели к причинению вреда, а также разрешение вопроса о наличии вины во вредоносном взаимодействии с источником повышенной опасности и отсутствии вины такого владельца связаны с установлением и исследованием фактических обстоятельств, что к компетенции Конституционного Суда Российской Федерации не относится в силу статьи 125 Конституции Российской Федерации и статьи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«Брянская мясная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