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2861-О/2025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Искоростенского Артема Владимировича на нарушение его конституционных прав статьями 1.5 и 26.2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А.В.Искоростенского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А.В.Искоростенский оспаривает конституционность статей 1.5 «Презумпция невиновности» и 26.2 «Доказательства» КоАП Российской Федерации. Как следует из представленных материалов, вступившим в законную силу постановлением мирового судьи заявитель признан виновным в совершении административного правонарушения, выразившегося в управлении транспортным средством в состоянии алкогольного опьянения (часть 1 статьи 12.8 КоАП Российской Федерации), и ему назначено административное наказание в виде административного штрафа в размере 2 тридцати тысяч рублей с лишением права управления транспортными средствами на срок один год восемь месяцев. Заявитель, выражая несогласие с судебными решениями по своему конкретному делу и требуя их отменить, полагает, что оспариваемые нормы позволяют произвольно привлекать граждан к административной ответственности, а потому противоречат статьям 19, 46, 49 и 55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1.5 КоАП Российской Федерации закрепляет презумпцию невиновности – один из принципов законодательства об административных правонарушениях, требования которого корреспондируют положениям статьи 49 Конституции Российской Федерации и подлежат применению при разрешении каждого дела об административном правонарушении. Положения оспариваемой статьи 26.2 КоАП Российской Федерации предусматривают, что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(часть 1); эти данные устанавливаются протоколом об административном правонарушении, иными протоколами, предусмотренными данным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 (часть 2). При этом согласно части 3 названной статьи не допускается использование 3 доказательств по делу об административном правонарушении, если указанные доказательства получены с нарушением закона. В силу требований статьи 26.11 указанного Кодекса судья, осуществляющий производство по делу об административном правонарушении, оценивает все представленные доказательства в их совокупности, притом что ни одно из них не имеет заранее установленной силы, что предполагает вынесение мотивированного решения по делу об административном правонарушении. Таким образом, оспариваемые законоположения, будучи направленными на обеспечение прав лиц, привлекаемых к административной ответственности, не предполагают возможности произвольного применения и потому не могут рассматриваться как нарушающие конституционные права А.В.Искоростенского. Доводы заявителя свидетельствуют о том, что, формально оспаривая конституционность указанных положений, он в действительности выражает несогласие с судебными решениями по своему конкретному делу и требует переоценить выводы судов. Между тем установление и исследование обстоятельств конкретного дела, в частности разрешение вопроса о том, управлял ли заявитель автомобилем, а также отмена судебных актов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Искоростенского Артема Владимировича, поскольку она не отвечает 4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