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Денисова Василия Петровича на нарушение его конституционных прав частями первой и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В.П.Денисова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В.П.Денисов оспаривает конституционность положений статьи 135 Трудового кодекса Российской Федерации,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 (часть первая);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2 локальными нормативными актами в соответствии с трудовым законодательством и иными нормативными правовыми актами, содержащими нормы трудового права (часть вторая). По мнению заявителя, оспариваемые нормы, примененные судом в его деле о взыскании задолженности по заработной плате, премии, компенсации морального вреда, противоречат Конституции Российской Федерации, ее статьям 19 (части 1 и 2), 37 (часть 3), 55 (часть 3), 75 (часть 5) и 751, поскольку позволяют работодателю по своему усмотрению устанавливать и изменять в локальных нормативных актах систему оплаты труда в части, касающейся стимулирующих и иных выплат, и тем самым уменьшать или лишать работника таких выплат при отсутствии дисциплинарных взысканий.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Денисова Василия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