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«СтройИнвест» на нарушение его конституционных прав частью 1 статьи 6.11 Закона города Москвы «Кодекс города Москвы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«СтройИнвест»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«СтройИнвест» (далее также – ООО «СтройИнвест») оспаривает конституционность части 1 статьи 6.11 Закона города Москвы от 21 ноября 2007 года № 45 «Кодекс города Москвы об административных правонарушениях» (далее – КоАП Москвы), устанавливающей административную ответственность за использование земельного участка, находящегося в собственности города Москвы, или земельного участка, государственная собственность на который не разграничена, с нарушением установленных нормативными правовыми актами города Москвы требований к оформлению документов, являющихся 2 основанием для использования таких земельных участков, за исключением случаев, предусмотренных статьей 6.13 данного Кодекса. Как следует из представленных материалов, постановлениями уполномоченных должностных лиц ООО «СтройИнвест» и его управляющий были привлечены к административной ответственности за совершение административных правонарушений, предусмотренных оспариваемой нормой. Суды оставили без изменения соответствующие постановления. Решением арбитражного суда первой инстанции, оставленным без изменения судом апелляционной инстанции, были удовлетворены требования ООО «СтройИнвест» о признании незаконным отказа Департамента городского имущества города Москвы в предоставлении земельного участка в аренду. Однако постановлением окружного арбитражного суда судебные акты были отменены, а в удовлетворении исковых требований было отказано. Определением судьи Верховного Суда Российской Федерации отказано в передаче кассационной жалобы ООО «СтройИнвест» для рассмотрения в судебном заседании Судебной коллегии по экономическим спорам Верховного Суда Российской Федерации. Решением арбитражного суда, оставленным без изменения вышестоящими арбитражными судами, отказано в удовлетворении исковых требований Правительства Москвы и Департамента городского имущества города Москвы о признании самовольной постройкой принадлежащего ООО «СтройИнвест» помещения. Заявитель просит признать оспариваемое законоположение не соответствующим ряду статей Конституции Российской Федерации, поскольку оно позволяет одновременно и неоднократно привлекать к административной ответственности юридическое лицо и его руководителя в случае отказа уполномоченного органа в заключении договора аренды земельного участка в связи с размещением на нем объекта недвижимого имущества, подлежащего сносу, при отсутствии соответствующего судебного решения о признании постройки самовольной.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Определением от 21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«СтройИнвест»,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