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Махалова Сергея Анатольевича на нарушение его конституционных прав пунктом 4 части первой статьи 195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С.А.Махалова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основу вступившего в законную силу и проверенного судами апелляционной и кассационной инстанций обвинительного приговора в отношении гражданина С.А.Махалова положено в числе прочего заключение судебной почерковедческой экспертизы. Заявитель полагает, что пункт 4 части первой статьи 195 «Порядок назначения судебной экспертизы» УПК Российской Федерации противоречит статьям 24 (часть 2), 46 (часть 1) и 123 (часть 3) Конституции Российской Федерации, поскольку он позволил следователю сделать в предоставляемых эксперту материалах (папках с подшивками документов) не указанные в 2 постановлении о назначении экспертизы пометки относительно того, какие документы необходимо учитывать, а какие игнорировать при производстве экспертизы.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Махалова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