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«Торговый дом «РостАгроВет» на нарушение его конституционных прав абзацем восьмым пункта 3 статьи 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«Торговый дом «РостАгроВет»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«РостАгроВет» оспаривает конституционность абзаца восьмого пункта 3 статьи 1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согласно которому действие данного Федерального закона не распространяется на деятельность по обороту 2 спиртосодержащей непищевой продукции, расфасованной в металлическую аэрозольную упаковку емкостью не более 450 миллилитров. Как следует из представленных материалов, решением арбитражного суда, с которым согласились вышестоящие суды, обществу с ограниченной ответственностью «Торговый дом «РостАгроВет» отказано в удовлетворении заявления о признании незаконными и отмене решений Московской областной таможни о внесении изменений в сведения, заявленные в таможенных декларациях на спрей-краску для маркировки сельскохозяйственных животных разных цветов в аэрозольных баллонах объемом пятьсот миллилитров. При этом было установлено, что заявителем были представлены недостоверные сведения о содержании в данных товарах этилового спирта и что указанные товары являются спиртосодержащей продукцией, при импорте которой необходимо представить соответствующую лицензию и уплатить акциз. По мнению заявителя, оспариваемое законоположение не соответствует статьям 1 (часть 1), 2, 6 (часть 2), 8 (часть 1), 15 (часть 1), 17, 18, 19 (часть 1), 34 (часть 1), 35 (часть 1), 45, 46 (часть 1), 55 (часть 3), 57, 120 (часть 1) и 123 (часть 3) Конституции Российской Федерации, поскольку использует в качестве критерия, исключающего действие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отношении деятельности по обороту спиртосодержащей непищевой продукции, расфасованной в металлическую аэрозольную упаковку, емкость такой упаковки – не более 450 миллилитров.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Государственное регулирование производства и оборота этилового спирта, алкогольной и спиртосодержащей продукции и ограничение потребления (распития) алкогольной продукции осуществляются в целях 3 защиты нравственности, здоровья, прав и законных интересов граждан, экономических интересов Российской Федерации, обеспечения безопасности указанной продукции, нужд потребителей в ней, а также в целях контроля за соблюдением законодательства, норм и правил в регулируемой области (пункт 1 статьи 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продукции»). Исходя из этого федеральный законодатель установил особый правовой режим производства и оборота данной специфической продукции, основу которого составляет необходимость получения лицензии на осуществление соответствующего вида деятельности, связанного с такой продукцией (глава III названного Федерального закона). Данное регулирование нацелено в том числе на пресечение возможности использования спиртосодержащей непищевой продукции для нелегального производства и оборота алкогольных суррогатов. Исключение же из сферы действия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деятельности по обороту спиртосодержащей непищевой продукции, расфасованной в металлическую аэрозольную упаковку емкостью не более 450 миллилитров (абзац восьмой пункта 3 его статьи 1), направлено на снятие административного бремени с хозяйствующих субъектов, осуществляющих указанную деятельность, в рамках общего разрешительного режима оборота такой продукции и реализовано законодателем в рамках его дискреции, а потому оспариваемое регулирование конституционные права заявителя в указанном в жалобе аспекте не нарушает.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«Торговый дом «РостАгроВет»,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