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«Космос-7» на нарушение его конституционных прав пунктом 2 части 3 и частью 4 статьи 132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жилищно-строительного кооператива «Космос-7»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«Космос-7» (далее также – ЖСК «Космос-7») оспаривает конституционность пункта 2 части 3 и части 4 статьи 132 «Предъявление встречного иска» АПК Российской Федерации. Как следует из представленных материалов, определением арбитражного суда от 14 апреля 2022 года, оставленным без изменения арбитражными судами апелляционной и кассационной инстанций (постановления от 18 июля 2022 года и от 31 октября 2022 года), ЖСК «Космос-7» возвращено встречное исковое заявление к юридическому лицу о признании договора недействительным. Определением Конституционного Суда Российской Федерации от 27 декабря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3 Поскольку решение арбитражного суда, принятое по результатам рассмотрения по существу искового заявления ЖСК «Космос-7», а также последующие судебные акты не подтверждают применения судами в деле с участием заявителя пункта 2 части 3 и части 4 статьи 132 АПК Российской Федерации, постольку его жалоба на нарушение конституционных прав данными законоположениями, первоначально поступившая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«Космос-7»,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