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Сафоновой Ирины Владимировны на нарушение ее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И.В.Сафоновой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И.В.Сафонова оспаривает конституционность следующих нормативных положений: пункта 1 статьи 152 «Защита чести, достоинства и деловой репутации» ГК Российской Федерации; части первой статьи 196 «Вопросы, разрешаемые при принятии решения суда» ГПК Российской Федерации; статьи 43 «Право на опровержение» Закона Российской Федерации от 27 декабря 1991 года № 2124-I «О средствах массовой информации»; Федерального закона от 14 июля 2022 года № 255-ФЗ «О контроле за деятельностью лиц, находящихся под иностранным влиянием». 2 Из представленных материалов следует, что заявительнице и гражданину С. отказано в удовлетворении требования о защите чести, достоинства, доброго имени и деловой репутации в части сведений, распространенных средством массовой информации (сетевым изданием), учредителем которого являлся ответчик, признанный иностранным агентом. По мнению И.В.Сафоновой, оспариваемые нормативные положения противоречат статьям 2, 15 (часть 1), 17, 18, 21 (часть 1), 23 (часть 1), 24 (часть 1), 29 (части 1, 4 и 5), 45, 46 (часть 1), 47 (часть 1), 55 (часть 2), 123 (часть 3) и 126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ограничивают суды в оценке доказательств, связанных с распространением порочащих и недостоверных сведений лицами, внесенными в реестр иностранных агентов, что в свою очередь наделяет последних ничем не ограниченным правом распространять на своих сайтах в сети «Интернет» порочащие и недостоверные сведения, умаляющие честь и достоинство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Сафоновой Ирины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