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Олейниковой Валентины Степановны на нарушение ее конституционных прав положениями статей 195–197, 200 и 208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В.С.Олейниковой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В.С.Олейникова оспаривает конституционность статей 195 «Понятие исковой давности» и 196 «Общий срок исковой давности», пункта 1 статьи 197 «Специальные сроки исковой давности», пунктов 1 и 2 статьи 200 «Начало течения срока исковой давности» и абзаца шестого статьи 208 «Требования, на которые исковая давность не распространяется» ГК Российской Федерации. Из представленных материалов следует, что в рамках дела о банкротстве бывшего супруга В.С.Олейниковой постановлением суда апелляционной инстанции отменено определение суда первой инстанции и по заявлению кредитора требования, включенные в реестр требований кредиторов должника, признаны общими обязательствами супругов. Суд 2 апелляционной инстанции указал, что срок исковой давности не применяется к требованию о признании обязательства общим обязательством супругов, как к не означающему взыскания с супруга задолженности и не связанному с понуждением должника к исполнению обязательства. В передаче кассационной жалобы В.С.Олейниковой на постановление суда апелляционной инстанции и постановление суда кассационной инстанции, которым оно оставлено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заявительницы, оспариваемые нормы противоречат статьям 2, 7 (часть 1), 8, 17 (часть 3), 18, 19 (части 1 и 2), 34 (часть 1), 35 (части 1 и 2), 45 (часть 1), 46 (часть 1) и 55 (часть 3) Конституции Российской Федерации, поскольку по смыслу, придаваемому им правоприменительной практикой, они не обеспечивают правовой определенности в вопросе о том, распространяется ли срок исковой давности на требование кредитора о признании обязательства общим обязательством супругов (бывших супругов), нарушают имущественные права супруга (бывшего супруга) должника, его право на достойную жизнь и право на защиту от обращения кредитора с требованием о признании обязательства общим обязательством супругов в течение неопределенного периода, ставят кредитора в преимущественное положение, а также позволяют судам произвольно применять нормы материального и процессуального права, нарушать положения статьи 6 АПК Российской Федерации и статьи 195 ГПК Российской Федерации и не учитывать определения Конституционного Суда Российской Федерации от 23 апреля 2020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Олейниковой Валентины Степановны,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