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Уразовой Ларисы Митрофановны на нарушение ее конституционных прав частью 1 статьи 13 Закона Воронежской области «О регулировании земельных отношений на территории Воронежской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Л.М.Уразовой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Л.М.Уразова оспаривает конституционность части 1 статьи 13 Закона Воронежской области от 13 мая 2008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закрепляя в соответствии с целями социального государства гарантии социальной защиты и относя социальную защиту, включая социальное обеспечение, к совместному ведению Российской Федерации и ее субъектов (статья 72, пункт «ж» части 1), вместе с тем не предусматривает конкретных способов и объемов такой защиты, предоставляемой тем или иным категориям граждан. Устанавливая полномочия органов государственной власти субъектов Российской Федерации, федеральный законодатель предоставил субъектам Российской Федерации право вводить в сфере социальной защиты ветеранов труда дополнительные меры социальной поддержки (пункт 49 части 1 статьи 44 Федерального закона от 21 декабря 2021 года № 414-ФЗ «Об общих принципах организации публичной власти в субъектах Российской Федерации»). К их числу относится в том числе и бесплатное предоставление в собственность гражданам названной категории земельных участков, находящихся в государственной или муниципальной собственности. Сама правовая природа этого инструмента как дополнительной меры социальной поддержки, а также то обстоятельство, что его реализация обеспечивается за счет средств бюджета субъекта Российской Федерации, обусловливают наделение законодателя субъекта Российской Федерации широкой свободой усмотрения в вопросе определения обстоятельств, наличие которых необходимо для осуществления признанного за 3 гражданином права на бесплатное предоставление земельного участка. Правовое регулирование соответствующих отношений осуществляется законодателем с учетом реальных финансово-экономических и иных имеющихся в распоряжении субъекта Российской Федерации возможностей, поэтому установление модели, которая не предусматривает таких параметров, как, например, конкретный срок передачи земельного участка, – исходя из того, что их бесплатное предоставление Конституцией Российской Федерации не гарантируется (определения Конституционного Суда Российской Федерации от 21 декабря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Уразовой Ларисы Митрофановны,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