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Гаркайса Яна Константиновича на нарушение его конституционных прав статьями 301, 302 Гражданского кодекса Российской Федерации, главой III1 и статьей 131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Я.К.Гаркайса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гражданки М. и оставленным без изменения постановлениями судов апелляционной и кассационной инстанций, был признан недействительным договор купли-продажи автомобиля, заключенный между должником и гражданином Я.К.Гаркайсом, применены последствия недействительности сделки. При этом суды исходили в частности из того, что сделка совершена между заинтересованными лицами, при наличии у должника признаков неплатежеспособности, в отсутствие равноценного встречного предоставления, в целях причинения вреда имущественным правам кредиторов. 2 Я.К.Гаркайс оспаривает конституционность положений главы III1 «Оспаривание сделок должника» и статьи 131 «Конкурсная масса» Федерального закона от 26 октября 2002 года № 127-ФЗ «О несостоятельности (банкротстве)», а также статей 301 «Истребование имущества из чужого незаконного владения» и 302 «Истребование имущества от добросовестного приобретателя» ГК Российской Федерации. По мнению заявителя, незаконным толкованием и применением данных положений судами в его деле были нарушены его права, гарантированные статьями 2, 17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Гаркайса Яна Константиновича,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