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С. на нарушение ее конституционных прав пунктом 2 статьи 51, а также абзацем вторым пункта 1 и пунктом 2 статьи 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 оспаривает конституционность пункта 2 статьи 51 «Запись родителей ребенка в книге записей рождений», а также абзаца второго пункта 1 и пункта 2 статьи 52 «Оспаривание отцовства (материнства)»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С., направленного среди прочего на признание совместного заявления гражданки Я. (матери несовершеннолетнего ребенка) и гражданина С. об установлении его отцовства в отношении ребенка недействительным, аннулирование записи акта об установлении отцовства и исключение ребенка из числа наследников. 2 Суды отметили отсутствие доказательств того, что запись внесена на основании подложных документов или в отсутствие свободного волеизъявления С. Кроме того, суды указали на отсутствие оснований для назначения судебной молекулярно-генетической экспертизы.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2, 17, 18, 19 (часть 1), 35 (части 1, 3 и 4), 45 (часть 1) и 46 (части 1 и 2) Конституции Российской Федерации, поскольку по смыслу, придаваемому им правоприменительной практикой, они не позволяют наследнику оспорить отцовство наследодателя в отношении иного наследника.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С., поскольку она не отвечает требованиям Федерального конституционного 4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