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Никоновой Светланы Федоровны на нарушение ее конституционных прав статьями 125, 38928 и частью первой статьи 40115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С.Ф.Никоновой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С.Ф.Никонова, которая неоднократно обращалась в суд с жалобами на действия (бездействие) и решения должностных лиц следственных органов, просит признать не соответствующими Конституции Российской Федерации статьи 125 «Судебный порядок рассмотрения жалоб», 38928 «Апелляционные приговор, определение и постановление» и часть первую статьи 40115 «Основания отмены или изменения судебного решения при рассмотрении уголовного дела в кассационном порядке» УПК Российской Федерации. Согласно позиции заявительницы, приведенные нормы позволяют суду оставлять без рассмотрения некоторые доводы жалобы, в том числе 2 касающиеся изменения требований по первоначально поданной в суд жалобе, а судам вышестоящих инстанций – сохранять в силе ошибочные судебные решения.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Никоновой Светланы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