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Маликова Дмитрия Сергеевича на нарушение его конституционных прав статьей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Д.С.Маликова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Д.С.Маликов, которому определением судьи Верховного Суда Российской Федерации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Федерации, с чем согласился заместитель Председателя этого суда, оспаривает конституционность статьи 3907 «Рассмотрение кассационных жалобы, представления» ГПК Российской Федерации. По мнению заявителя, оспариваемое законоположение не соответствует статьям 18, 45 и 129 (часть 1) Конституции Российской Федерации и статьям 2, 3, 5 и 8 Федерального конституционного закона от 31 2 декабря 1996 года № 1-ФКЗ «О судебной системе Российской Федерации», поскольку позволяет судье Верховного Суда Российской Федерации единолично принимать решение об отказе в передаче кассационной жалобы для рассмотрения в судебном заседании Судебной коллегии Верховного Суда Российской Федерации, не предусматривает участие сторон по делу, прокурора и тем самым создает препятствие для реализации его конституционных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Маликова Дмитрия Сергеевича,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