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«ИнсталТехСервис» на нарушение его конституционных прав частью 2 статьи 104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общества с ограниченной ответственностью «ИнсталТехСервис»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«ИнсталТехСервис» (далее также – ООО «ИнсталТехСервис») оспаривает конституционность части 2 статьи 104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согласно которой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 2 Из представленных материалов следует, что решением арбитражного суда, с которым согласились суды вышестоящих инстанций, отказано в удовлетворении заявления ООО «ИнсталТехСервис» о признании незаконным решения антимонопольного органа о включении сведений о нем в реестр недобросовестных поставщиков. Суд пришел к выводу, что ООО «ИнсталТехСервис» допустило существенные нарушения обязательств по контракту и не представило доказательств невозможности их исполнения. По мнению ООО «ИнсталТехСервис», оспариваемая норма не соответствует статьям 34 (часть 2) и 55 (части 2 и 3) Конституции Российской Федерации, поскольку позволяет включать сведения об исполнителе государственного (муниципального) контракта в реестр недобросовестных поставщиков вне зависимости от причин расторжения контракта, не содержит точных критериев недобросовестности поставщика и не дает возможности доказать, что антимонопольным органом принято незаконное решение о включении в указанный реестр.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«ИнсталТехСервис»,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