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пунктом 3 статьи 15 Федерального закона «О безопасности дорожного движения», а также пунктом 4 части 1 статьи 20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следующих норм: пункта 3 статьи 15 Федерального закона от 10 декабря 1995 года № 196-ФЗ «О безопасности дорожного движения», предусматривающего, что по общему правилу транспортное средство допускается к участию в дорожном движении в случае, если оно состоит на государственном учете, его государственный учет не прекращен и оно соответствует основным 2 положениям о допуске транспортных средств к участию в дорожном движении, установленным Правительством Российской Федерации; пункта 4 части 1 статьи 20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в силу которого запрещается совершение регистрационных действий в случае несоответствия регистрационных данных или конструкции транспортного средства сведениям, указанным в документах, идентифицирующих транспортное средство, за исключением регистрационных и иных данных транспортного средства, подлежащих изменению (внесению в документ, идентифицирующий транспортное средство) на основании представленных документов. Как следует из представленных материалов, решением городского суда, с которым согласились вышестоящие суды, А.Г.Пименову отказано в удовлетворении административного искового заявления о признании незаконными действий по снятию его транспортного средства с регистрационного учета (регистрация автомобиля была аннулирована в связи с установкой газобаллонного оборудования без внесения изменений в документы, идентифицирующие транспортное средство). Заявитель просит признать оспариваемые законоположения не соответствующими ряду статей Конституции Российской Федерации, поскольку они позволяют лишать собственника возможности пользоваться и распоряжаться своим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Рассматривая вопрос об обязательности государственной регистрации транспортных средств,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