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Иевлева Михаила Ивановича на нарушение его конституционных прав пунктом 1 статьи 10 и пунктом 2 статьи 167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М.И.Иевлева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М.И.Иевлев, в отношении которого удовлетворены исковые требования о признании сделки недействительной, применении последствий недействительности сделки, оспаривает конституционность следующих положений Гражданского кодекса Российской Федерации: пункта 1 статьи 10, согласно которому не допускаются, в частности,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2 пункта 2 статьи 167 о том, что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По мнению М.И.Иевлева, оспариваемые положения не соответствуют статьям 17 (часть 3), 19 (часть 1) и 35 (части 1 и 2) Конституции Российской Федерации в той мере, в какой по смыслу, придаваемому им правоприменительной практикой, они позволяют судам произвольно и односторонне толковать понятия «злоупотребление правом» и «двусторонняя реституция», признавая сделку недействительной, изымать имущество у приобретателей по возмездным договорам, невзирая на имеющиеся признаки злоупотребления правом со стороны истцов и не разрешая при этом одновременно вопроса о взыскании с прежних собственников денежных средств в пользу приобретателей.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Иевлева Михаила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