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Бердниковой Елены Игоревны на нарушение ее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Е.И.Бердниковой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Е.И.Бердникова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2 деятельности (статья 661 данного Кодекса) у работодателя по последнему месту работы. По мнению заявительницы, оспариваемая норма, примененная в ее деле судом, противоречит Конституции Российской Федерации, в частности ее статьям 15 (части 1 и 2), 17 (часть 1), 18, 19 (часть 1), 37 (части 4 и 5), 46 (часть 1) и 55 (часть 3), поскольку в связи с отсутствием в ней указания на трехгодичный срок обращения в суд по спору об увольнении после установления судом факта трудовых отношений позволяет отказывать в удовлетворении требования работника о восстановлении на работе ввиду пропуска им месячного срока на обращение в суд с момента установления названного факта.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Бердниковой Елены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