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Клыковской Марины Витальевны на нарушение ее конституционных прав частью первой статьи 4012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М.В.Клыковской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М.В.Клыковская, осужденная за совершение преступления, обратилась с кассационной жалобой на вступивший в законную силу приговор, постановленный в отношении иных лиц, поскольку в ее приговоре содержится на него ссылка как на одно из доказательств, имеющее преюдициальное значение. Письмом судьи Верховного Суда Российской Федерации от 11 декабря 2024 года кассационная жалоба заявительницы возвращена без рассмотрения как поданная лицом, не обладающим правом обжалования данного приговора. В этой связи М.В.Клыковская утверждает о несоответствии статьям 1, 2, 4 (часть 2), 15 (части 1 и 2), 17–19, 45 (часть 1), 46 (часть 1), 49, 50 (часть 2), 54 2 (часть 2), 55 (часть 3), 751, 120 (часть 1) и 123 (часть 3) Конституции Российской Федерации части первой статьи 4012 «Право на обращение в суд кассационной инстанции» УПК Российской Федерации, как позволяющей суду возвращать без рассмотрения по существу кассационную жалобу лица, права и законные интересы которого затронуты оспариваемым решением.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Клыковской Марины Витальевны,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