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Гарайшина Ильгиза Габдулхаметовича на нарушение его конституционных прав пунктом 2 статьи 181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И.Г.Гарайшина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И.Г.Гарайшин, которому отказано в удовлетворении исковых требований о признании сделок недействительными, применении последствий недействительности сделок в виде возврата имущества в наследственную массу, оспаривает конституционность пункта 2 статьи 181 ГК Российской Федерации, согласно которому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год; течение срока исковой давности по указанному требованию начинается со дня прекращения насилия или угрозы, под влиянием которых была совершена сделка (пункт 1 статьи 179), либо со дня, когда истец узнал или 2 должен был узнать об иных обстоятельствах, являющихся основанием для признания сделки недействительной. По мнению заявителя, оспариваемое положение противоречит Конституции Российской Федерации, ее статьям 35 (часть 4) и 46 (часть 1), в той мере, в какой по смыслу, придаваемому ему правоприменительной практикой, оно позволяет судам произвольно определять правила исчисления сроков исковой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Гарайшина Ильгиза Габдулхаметовича,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