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Максима Александровича на нарушение его конституционных прав пунктами 1 и 2 статьи 333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М.А.Попов оспаривает конституционность положений статьи 333 ГК Российской Федерации, согласно которым,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 (пункт 1); 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2 предусмотренном договором размере может привести к получению кредитором необоснованной выгоды (пункт 2). Из представленных материалов следует, что апелляционным определением суда общей юрисдикции, отменившим решение мирового судьи, с которым согласился суд кассационной инстанции, исковые требования заявителя о защите прав потребителя, в том числе штрафа за несоблюдение в добровольном порядке удовлетворения требований потребителя в размере пятьдесят процентов от суммы, присужденной судом в его пользу, удовлетворены частично, с учетом снижения размера взысканного штрафа на основании статьи 333 ГК Российской Федерации. По мнению М.А.Попова, оспариваемые положения противоречат статьям 2, 19 (часть 1), 45 и 46 (часть 1) Конституции Российской Федерации в той части, в какой по смыслу, придаваемому им правоприменительной практикой, они допускают возможность снижения судом штрафа за несоблюдение в добровольном порядке удовлетворения требований потребителя по инициативе суда без заявления соответствующего обоснованного ходатайства со стороны юридического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Максима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