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статьями 80, 81 и 113 Семейного кодекса Российской Федерации, а также главой 11 и статьями 210 и 211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 оспаривает конституционность статей 80 «Обязанности родителей по содержанию несовершеннолетних детей», 81 «Размер алиментов, взыскиваемых на несовершеннолетних детей в судебном порядке» и 113 «Определение задолженности по алиментам» Семейного кодекса Российской Федерации, а также главы 11 «Судебный приказ» и статей 210 «Исполнение решения суда» и 211 «Решения суда, подлежащие немедленному исполнению» ГПК Российской Федерации. Из представленных материалов следует, что судебным приказом мирового судьи, оставленным без изменения определением кассационного суда общей юрисдикции, с В.И.Попкова взысканы алименты на 2 несовершеннолетних детей в размере 1/3 заработка и (или) иного дохода с указанием на то, что в соответствии со статьей 211 ГПК Российской Федерации судебный приказ подлежит немедленному исполнению. По мнению заявителя, взыскание алиментов с должника, отбывающего наказание в виде лишения свободы, следует осуществлять с момента его трудоустройства при отбывании наказания.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