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Громовой Тамары Александровны на нарушение ее конституционных прав частью 3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Т.А.Громовой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Т.А.Громова оспаривает конституционность части 3 статьи 5 «Ведение садоводства или огородничества на земельных участках, расположенных в границах территории садоводства или огородничества, без участия (членства) в товариществе»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2 Из представленных материалов следует, что решением суда общей юрисдикции, с которым согласились суды вышестоящих инстанций, заявительнице отказано, среди прочего, в признании незаконными решений общих собраний членов товарищества собственников недвижимости, на территории которого расположен принадлежащий ей земельный участок, в части установления платы для лиц, ведущих садоводство в индивидуальном порядке. По мнению Т.А.Громовой, оспариваемое законоположение противоречит статье 17 (часть 3) Конституции Российской Федерации в той мере, в какой по смыслу, придаваемому ему правоприменительной практикой, оно возлагает на гражданина, ведущего садоводство в индивидуальном порядке, обязанность вносить плату за содержание общего имущества, которое этот гражданин фактически не использует.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Громовой Тамары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