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Короткевича Олега Анатольевича на нарушение его конституционных прав частью четвертой статьи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О.А.Короткевича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О.А.Короткевич оспаривает конституционность части четвертой статьи 193 Трудового кодекса Российской Федерации, согласно которой 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 хозяйственной деятельности или аудиторской проверки – позднее двух лет со дня его совершения; дисциплинарное взыскание за несоблюдение ограничений 2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проступка; в указанные сроки не включается время производства по уголовному делу. По мнению О.А.Короткевича, оспариваемое законоположение, примененное судами при рассмотрении дела с его участием, не соответствует статьям 1, 2 и 55 (часть 3) Конституции Российской Федерации в той мере, в какой допускает произвольную квалификацию деяния в виде необеспечения контроля за направлением уведомления о заключении трудового договора с лицом, замещавшим должность государственной службы, представителю нанимателя (работодателю) данного лица по последнему месту его службы в качестве «несоблюдения ограничений и запретов, неисполнения обязанностей, установленных законодательством Российской Федерации о противодействии коррупции», в том числе по признаку наличия связи данного нарушения с неисполнением такого рода обязанностей.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Короткевича Олега Анатольевича,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