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Битова Владимира Александровича на нарушение его конституционных прав абзацем пятым части второй статьи 57 и частью второй статьи 135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В.А.Битова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В.А.Битов оспаривает конституционность следующих положений Трудового кодекса Российской Федерации: абзаца пятого (в жалобе ошибочно назван абзацем 4) части второй статьи 57, закрепляющего, что обязательными для включения в трудовой договор являются условия оплаты труда (в том числе размер тарифной ставки или оклада (должностного оклада) работника, доплаты, надбавки и поощрительные выплаты); части второй статьи 135, согласно которой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2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права. По мнению заявителя, оспариваемые нормы, примененные в его деле судом, противоречат Конституции Российской Федерации, ее статьям 37 (часть 3) и 46 (часть 1), поскольку позволяют работодателю включать в состав заработной платы (части заработной платы), не превышающей минимального размера оплаты труда, стимулирующие выплаты.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Заработная плата работника в соответствии с Трудовым кодексом Российской Федерации может состоять из вознаграждения за труд, а также компенсационных и стимулирующих выплат (часть первая статьи 129) и зависит от его квалификации, сложности выполняемой работы, количества и качества затраченного труда (часть первая статьи 132). Условие о заработной плате конкретного работника согласовывается и закрепляется в трудовом договоре в соответствии с действующими у данного работодателя системами оплаты труда, устанавливаемыми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 (абзац пятый части второй статьи 57, части первая и вторая статьи 135). При этом при установлении системы оплаты труда работодатель должен гарантировать каждому работнику определение его заработной платы с учетом закрепленных в законодательстве критериев, вводить обоснованную дифференциацию оплаты труда, не допускать дискриминации при установлении и изменении условий оплаты труда (часть вторая статьи 132 Трудового кодекса Российской Федерации) и учитывать, что выплаты 3 компенсационного характера призваны компенсировать влияние на работника неблагоприятных производственных факторов, а стимулирующие выплаты должны выполнять функцию побуждения работника к высокопроизводительному труду, повышению эффективности трудовой деятельности (определения Конституционного Суда Российской Федерации от 1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Битова Владимира Александровича,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