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3027-О/2025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«Золотой колос» на нарушение его конституционных прав частями 1–3 статьи 36 Жилищного кодекса Российской Федерации и частью второй статьи 61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общества с ограниченной ответственностью «Золотой колос»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«Золотой колос» (далее также – ООО «Золотой колос») оспаривает конституционность частей 1–3 статьи 36 «Право собственности на общее имущество собственников помещений в многоквартирном доме» Жилищного кодекса Российской Федерации и части второй статьи 61 «Основания для освобождения от доказывания» ГПК Российской Федерации. Как следует из представленных материалов, гражданин Т. – собственник квартиры в доме блокированной застройки – осуществил ее перепланировку и переустройство с разделением этой квартиры на отдельные жилые помещения; из подвальной части указанной квартиры было образовано нежилое помещение. Впоследствии данное нежилое помещение 2 по договору купли-продажи приобрел заявитель. Решением суда общей юрисдикции (с учетом дополнительного решения и определения об исправлении описки), с которым согласились суды вышестоящих инстанций, упомянутое нежилое помещение признано общим имуществом собственников образованных жилых помещений, право собственности заявителя признано отсутствующим. Суды, в частности, исходили из того, что после проведенной перепланировки и переустройства секция дома блокированной застройки стала отвечать признакам многоквартирного жилого дома; ООО «Золотой колос» после приобретения данного нежилого помещения ограничило доступ к расположенному в этом помещении имуществу, необходимому для эксплуатации упомянутых жилых помещений. По мнению заявителя, оспариваемые законоположения противоречат Конституции Российской Федерации, в том числе ее статьям 18, 19 (часть 1), 35 (часть 1) и 46, поскольку они: позволяют безосновательно констатировать возникновение права общей долевой собственности на общее имущество только у части собственников помещений в многоквартирном доме, а также произвольно определять, какими собственниками может быть принято решение об уменьшении общего имущества; допускают признание отсутствующим права собственности на появившееся в результате реконструкции дома блокированной застройки нежилое помещение ввиду наличия на данное помещение права общей долевой собственности собственников части жилых помещений, которые хотя и появились вследствие этой же реконструкции, но были сохранены в переустроенном виде судебным постановлением, принятым без участия собственника нежилого помещения.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«Золотой колос»,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