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Лосева Евгения Николаевича на нарушение его конституционных прав пунктом 3 части 1 статьи 15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Е.Н.Лосева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Е.Н.Лосев оспаривает конституционность пункта 3 части 1 статьи 15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в соответствии с которым должностное лицо регистрационного подразделения вправе потребовать от обратившегося в регистрационное подразделение лица для совершения регистрационных 2 действий представления документов, идентифицирующих транспортное средство; представление указанных документов не требуется в случае оформления этих документов взамен утраченных. Как следует из представленных материалов, решением районного суда, с которым согласились вышестоящие суды, отказано в удовлетворении административного искового заявления Е.Н.Лосева о признании незаконными действий должностных лиц органа ГИБДД по снятию с государственного учета принадлежащих ему транспортных средств. Суды установили, что лицо, обратившееся с просьбой о постановке транспортных средств заявителя на государственный учет, представило договоры купли- продажи данных транспортных средств, свидетельства об их регистрации и подало заявление о выдаче дубликатов паспортов транспортных средств. Суды также приняли во внимание, что Е.Н.Лосев обратился в правоохранительные органы с заявлением о хищении транспортных средств лишь спустя девять месяцев после того, как они выбыли из его владения и спустя два месяца после того, как была произведена их перерегистрация на покупателя, притом что решение об осуществлении регистрационных действий было принято в том числе при отсутствии в автоматизированных информационных системах ГИБДД сведений о нахождении транспортных средств в розыске. Это обстоятельство, наряду с иными, свидетельствовало об отсутствии оснований для отказа совершения регистрационных действий. По мнению заявителя, оспариваемое законоположение не соответствует статье 35 (части 1 и 2) Конституции Российской Федерации, поскольку позволяет производить регистрационные действия в отношении транспортных средств без согласия их законного владельца.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определяя 3 перечень документов, представляемых для совершения регистрационных действий, в частности, относит к их числу документы, идентифицирующие транспортное средство, представление, которых, однако, не требуется в случае оформления этих документов взамен утраченных (пункт 3 части 1 данной статьи). Оспариваемое законоположение направлено на обеспечение исполнения законодательства Российской Федерации, регулирующего отношения, возникающие в связи с эксплуатацией транспортных средств, их идентификацию и государственный учет. Таким образом, само по себе оно не может рассматриваться как нарушающее конституционные права заявителя в указанном им аспекте. Проверка же обоснованности совершения уполномоченными органами тех или иных регистрационных действий в отношении транспортных средств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Лосева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