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3334-О/2024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декабря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Никитиной Светланы Юрьевны на нарушение ее конституционных прав частью 1 статьи 14 и частью 1 статьи 62 Кодекса административного судопроизводства Российской Федерации, а также абзацем вторым пункта 1 статьи 1522 Гражданского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гражданки С.Ю.Никитиной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С.Ю.Никитина оспаривает конституционность следующих законоположений: части 1 статьи 14 «Состязательность и равноправие сторон» и части 1 статьи 62 «Обязанность доказывания» КАС Российской Федерации; абзаца второго пункта 1 статьи 1522 (в жалобе ошибочно поименован частью 2 данной статьи) «Охрана частной жизни гражданина» ГК Российской Федерации. 2 Как следует из представленных материалов, решением Октябрьского районного суда города Барнаула Алтайского края от 11 октября 2023 года, с которым согласились вышестоящие суды, было отказано в удовлетворении иска заявительницы и ее супруга – гражданина Н. к органам внутренних дел о компенсации морального вреда, причиненного сбором, хранением и распространением информации о передвижении принадлежащего С.Ю.Никитиной автомобиля. При этом суды установили, что данная информация была предоставлена центром автоматизированной фиксации административных правонарушений в области дорожного движения и использовалась органами внутренних дел для опровержения доводов Н. при разрешении Индустриальным районным судом города Барнаула Алтайского края, рассматривавшим административное дело с его участием, вопроса о взыскании по заявлению Н. судебных расходов (расходов на проезд на указанном автомобиле). По мнению заявительницы, оспариваемые законоположения не соответствуют статьям 23 (часть 1) и 24 (часть 1) Конституции Российской Федерации, поскольку позволяют органам внутренних дел неправомерно собирать в связи с их участием в рассматриваемом судом деле информацию о частной жизни гражданина (судьи в отставке), который не является стороной по такому делу.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Абзац второй пункта 1 статьи 1522 ГК Российской Федерации, являющейся гарантией конституционных прав на неприкосновенность частной жизни, личную и семейную тайну, закрепленных статьями 23 (часть 1) и 24 (часть 1) Конституции Российской Федерации, предусматривает, что не являются нарушением правил, установленных абзацем первым данного пункта, сбор, хранение, распространение и использование информации о частной жизни гражданина, в частности, в государственных, общественных или иных публичных интересах. 3 Тем самым оспариваемая заявительницей норма Гражданского кодекса Российской Федерации, допуская сбор, хранение, распространение и использование информации о частной жизни гражданина в публичных интересах, имеет своей целью установление справедливого баланса между правом на неприкосновенность частной жизни и указанными интересами, не предполагает произвольного применения и не может расцениваться как нарушающая в обозначенном в жалобе аспекте конституционные права заявительницы, в деле с участием которой было установлено, что информация о передвижении ее автомобиля представлялась органами внутренних дел только суду в целях правильного разрешения административного дела. Что касается оспариваемых заявительницей положений Кодекса административного судопроизводства Российской Федерации, на которые суды наряду с иными нормами сослались при рассмотрении гражданского дела с ее участием, то они предусматривают принцип состязательности и равноправия сторон административного судопроизводства (часть 1 статьи 14) и в качестве общего правила распределения бремени доказывания устанавливают обязанность лиц, участвующих в деле, доказывать обстоятельства, на которые они ссылаются как на основания своих требований или возражений (часть 1 статьи 62). Данное регулирование, обеспечивая принятие судом законного и обоснованного решения по административному делу и решение задач административного судопроизводства (статьи 3 и 176 указанного Кодекса), также не нарушает конституционных прав С.Ю.Никитиной в указанном ею аспекте. Проверка же выводов судов о допустимости сбора информации о передвижении принадлежащего С.Ю.Никитиной автомобиля в целях ее представления в суд и об отсутствии оснований для удовлетворения требования заявительницы и ее супруга о взыскании компенсации морального вреда, будучи связанной с выяснением фактических обстоятельств конкретного дела и выбором норм, подлежавших применению при его рассмотрении, не относится к компетенции Конституционного Суда 4 Российской Федерации, как она закреплена в статье 125 Конституции Российской Федерации и статье 3 Федерального конституционного закона «О Конституционном Суде Российской Федерации».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Никитиной Светланы Юрьевны,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